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72.0" w:type="dxa"/>
        <w:jc w:val="left"/>
        <w:tblInd w:w="0.0" w:type="dxa"/>
        <w:tblLayout w:type="fixed"/>
        <w:tblLook w:val="0400"/>
      </w:tblPr>
      <w:tblGrid>
        <w:gridCol w:w="1897"/>
        <w:gridCol w:w="5228"/>
        <w:gridCol w:w="5850"/>
        <w:gridCol w:w="1297"/>
        <w:tblGridChange w:id="0">
          <w:tblGrid>
            <w:gridCol w:w="1897"/>
            <w:gridCol w:w="5228"/>
            <w:gridCol w:w="5850"/>
            <w:gridCol w:w="1297"/>
          </w:tblGrid>
        </w:tblGridChange>
      </w:tblGrid>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1">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Squadron Cup Categories and Grading Criteria</w:t>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5">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Fitness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9">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Event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A">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B">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Calculation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Source</w:t>
            </w:r>
          </w:p>
        </w:tc>
      </w:tr>
      <w:tr>
        <w:trPr>
          <w:trHeight w:val="6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PFT/CFT average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Average PFT/CFT score within each Company.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Points awarded based up average PFT/CFT score. (example 242.2 average = 242.2 points)</w:t>
            </w:r>
          </w:p>
          <w:p w:rsidR="00000000" w:rsidDel="00000000" w:rsidP="00000000" w:rsidRDefault="00000000" w:rsidRPr="00000000" w14:paraId="0000001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10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PFT/CFT Completion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This percentage will determine the number of Marines who have actually completed a PFT/CFT for scoring period. Number of Marines complete divided by the number of Marines in the company.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Score will be calculated based upon the percentage of Marines complete in the Company from their average PFT/CFT score.</w:t>
            </w:r>
          </w:p>
          <w:p w:rsidR="00000000" w:rsidDel="00000000" w:rsidP="00000000" w:rsidRDefault="00000000" w:rsidRPr="00000000" w14:paraId="00000015">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For example: </w:t>
            </w:r>
          </w:p>
          <w:p w:rsidR="00000000" w:rsidDel="00000000" w:rsidP="00000000" w:rsidRDefault="00000000" w:rsidRPr="00000000" w14:paraId="00000016">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110/220=50% </w:t>
            </w:r>
          </w:p>
          <w:p w:rsidR="00000000" w:rsidDel="00000000" w:rsidP="00000000" w:rsidRDefault="00000000" w:rsidRPr="00000000" w14:paraId="00000017">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50% of 242.2 = 121.1 points awarded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8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Superior Performance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Superior physical fitness performance.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Marine with a PFT score of 285+ or a CFT score of 300+ will receive 5 points for their company.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7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Field Meet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Companies will compete in a semi-annual field meet.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Scoring Table in development by Squadron SgtMaj.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Command Deck</w:t>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Fighter</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Event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Calculation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Source</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Deployment Ready Marines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240" w:lineRule="auto"/>
              <w:contextualSpacing w:val="0"/>
              <w:jc w:val="center"/>
              <w:rPr>
                <w:rFonts w:ascii="Courier New" w:cs="Courier New" w:eastAsia="Courier New" w:hAnsi="Courier New"/>
                <w:color w:val="000000"/>
                <w:sz w:val="20"/>
                <w:szCs w:val="20"/>
              </w:rPr>
            </w:pPr>
            <w:bookmarkStart w:colFirst="0" w:colLast="0" w:name="_gjdgxs" w:id="0"/>
            <w:bookmarkEnd w:id="0"/>
            <w:r w:rsidDel="00000000" w:rsidR="00000000" w:rsidRPr="00000000">
              <w:rPr>
                <w:rFonts w:ascii="Courier New" w:cs="Courier New" w:eastAsia="Courier New" w:hAnsi="Courier New"/>
                <w:color w:val="000000"/>
                <w:sz w:val="20"/>
                <w:szCs w:val="20"/>
                <w:rtl w:val="0"/>
              </w:rPr>
              <w:t xml:space="preserve">Deployment ready Marines are essential to the Squadrons operational success. This will be measured by the number of deployment ready Marines.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Deployment Ready Marine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Ready Det FRAGO (BLOCK 1A Complete)</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Maintenance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Companies A and B will average their maintenance readiness based off of their overall readiness rating. H&amp;S Company will get their average based upon the overall Squadron readiness rating.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For Company A and B:</w:t>
            </w:r>
          </w:p>
          <w:p w:rsidR="00000000" w:rsidDel="00000000" w:rsidP="00000000" w:rsidRDefault="00000000" w:rsidRPr="00000000" w14:paraId="0000003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u w:val="single"/>
                <w:rtl w:val="0"/>
              </w:rPr>
              <w:t xml:space="preserve">(Month 1 + Month 2 +... Month 6)</w:t>
            </w:r>
            <w:r w:rsidDel="00000000" w:rsidR="00000000" w:rsidRPr="00000000">
              <w:rPr>
                <w:rFonts w:ascii="Courier New" w:cs="Courier New" w:eastAsia="Courier New" w:hAnsi="Courier New"/>
                <w:color w:val="000000"/>
                <w:sz w:val="20"/>
                <w:szCs w:val="20"/>
                <w:rtl w:val="0"/>
              </w:rPr>
              <w:t xml:space="preserve"> divided by 6 = Average Readiness percentage</w:t>
            </w:r>
          </w:p>
          <w:p w:rsidR="00000000" w:rsidDel="00000000" w:rsidP="00000000" w:rsidRDefault="00000000" w:rsidRPr="00000000" w14:paraId="0000003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   </w:t>
            </w:r>
          </w:p>
          <w:p w:rsidR="00000000" w:rsidDel="00000000" w:rsidP="00000000" w:rsidRDefault="00000000" w:rsidRPr="00000000" w14:paraId="0000003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For H&amp;S (Squadron Readiness):                 Below 74% = 1 point per Readiness Rating (i.e. 74 points)                         75%-84% =  1 point per Readiness Rating (i.e. 85 points)                         If above, 85% = 100 points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MMO</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Medical and Dental Readiness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The average monthly readiness will be tracked and recorded.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u w:val="single"/>
                <w:rtl w:val="0"/>
              </w:rPr>
              <w:t xml:space="preserve">(Month 1 + Month 2 +... Month 6)</w:t>
            </w:r>
            <w:r w:rsidDel="00000000" w:rsidR="00000000" w:rsidRPr="00000000">
              <w:rPr>
                <w:rFonts w:ascii="Courier New" w:cs="Courier New" w:eastAsia="Courier New" w:hAnsi="Courier New"/>
                <w:color w:val="000000"/>
                <w:sz w:val="20"/>
                <w:szCs w:val="20"/>
                <w:rtl w:val="0"/>
              </w:rPr>
              <w:t xml:space="preserve"> divided by 6 = Average Readiness percentage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S-4</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Rifle Qualification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expert rifle qualifications.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PME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PME complete for grade.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MCMAP</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who achieved one belt higher.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who have advanced a belt level.</w:t>
            </w:r>
          </w:p>
          <w:p w:rsidR="00000000" w:rsidDel="00000000" w:rsidP="00000000" w:rsidRDefault="00000000" w:rsidRPr="00000000" w14:paraId="0000004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2 points for every Black Belt in the Company.</w:t>
            </w:r>
          </w:p>
          <w:p w:rsidR="00000000" w:rsidDel="00000000" w:rsidP="00000000" w:rsidRDefault="00000000" w:rsidRPr="00000000" w14:paraId="0000004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3 point for every certified MAI in the Company.</w:t>
            </w:r>
          </w:p>
          <w:p w:rsidR="00000000" w:rsidDel="00000000" w:rsidP="00000000" w:rsidRDefault="00000000" w:rsidRPr="00000000" w14:paraId="00000045">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5 points for every certified MAIT in the Company.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HMMWV Drivers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8">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HMMWV drivers.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in the Company with a current HMMWV license.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7-Ton Drivers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7-Ton drivers.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in the Company with a current 7-ton license.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3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HAZMAT Drivers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HAZMAT drivers.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2 points per Marine in the Company with a current HAZMAT license.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Chasers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Chasers.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in the Company qualified to serve as a Chaser.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6">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Swim Qualifications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who achieve an intermediate or higher swim qualification.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who has an intermediate qualification.</w:t>
            </w:r>
          </w:p>
          <w:p w:rsidR="00000000" w:rsidDel="00000000" w:rsidP="00000000" w:rsidRDefault="00000000" w:rsidRPr="00000000" w14:paraId="0000005A">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2 points per Marine who has an advanced qualification.</w:t>
            </w:r>
          </w:p>
          <w:p w:rsidR="00000000" w:rsidDel="00000000" w:rsidP="00000000" w:rsidRDefault="00000000" w:rsidRPr="00000000" w14:paraId="0000005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3 points per Marine who is a qualified MCWSI or MCWSIT.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Combat Life Savers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Combat Life Savers.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in the Company qualified as a Combat Life Saver.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RSO's.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Marine qualified to serve as an RSO at either MCAS CP or MCAS CLNC.  If a Marine is qualified for both MCAS CP and MCAS CLNC, 2 points will be awarded.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Future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Event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Calculation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Source</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Mission Accomplishment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The Squadron Commander and Sergeant Major will award points at the end of every scoring period. They will be awarded based upon operational excellence and executed intent of the CO's roadmap.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They will have the ability to award and distribute 250 points across the companies per quarter.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CO/ SgtMaj</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Awards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awards distributed.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awarded for Letter of Appreciate and Meritorious Mast signed by the Squadron CO.                        3 points for a Certificate of Commendation signed by the Squadron CO.              5 points for a Navy Achievement Medal signed by the Squadron CO.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S-1</w:t>
            </w:r>
          </w:p>
        </w:tc>
      </w:tr>
      <w:tr>
        <w:trPr>
          <w:trHeight w:val="6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5">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Promotions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6">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Promoted.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 point per PFC-LCpl             </w:t>
            </w:r>
          </w:p>
          <w:p w:rsidR="00000000" w:rsidDel="00000000" w:rsidP="00000000" w:rsidRDefault="00000000" w:rsidRPr="00000000" w14:paraId="00000078">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 3 points per Cpl           </w:t>
            </w:r>
          </w:p>
          <w:p w:rsidR="00000000" w:rsidDel="00000000" w:rsidP="00000000" w:rsidRDefault="00000000" w:rsidRPr="00000000" w14:paraId="00000079">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5 points per Sgt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A">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S-1</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Re-enlistments submitted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who submit for re-enlistment.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3 points per First-term Marine who completed a re-enlistment package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Career Planner</w:t>
            </w:r>
          </w:p>
        </w:tc>
      </w:tr>
      <w:tr>
        <w:trPr>
          <w:trHeight w:val="8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Re-enlistments approved</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who are approved for re-enlistment.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5 points per First-term Marine approved for re-enlistment.  5 additional points will be awarded if the First-term Marine accepts re-enlistment.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Career Planner</w:t>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Family/Finance</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Event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Description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Calculation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Source</w:t>
            </w:r>
          </w:p>
        </w:tc>
      </w:tr>
      <w:tr>
        <w:trPr>
          <w:trHeight w:val="5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Family Readiness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family readiness events held (ex. Links, Four Lenses, Family Days, holds a budgeting class, etc…)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10 points per event Company Event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S-3</w:t>
            </w:r>
          </w:p>
        </w:tc>
      </w:tr>
      <w:tr>
        <w:trPr>
          <w:trHeight w:val="6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Family Readiness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Attendance at a Family Readiness Resource Training or uses a financial resource provided on base.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2 points per Marine, per event attended.  Must be verified by a complete certificate.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FRO</w:t>
            </w:r>
          </w:p>
        </w:tc>
      </w:tr>
      <w:tr>
        <w:trPr>
          <w:trHeight w:val="300" w:hRule="atLeast"/>
        </w:trPr>
        <w:tc>
          <w:tcPr>
            <w:gridSpan w:val="4"/>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b w:val="1"/>
                <w:color w:val="000000"/>
                <w:sz w:val="20"/>
                <w:szCs w:val="20"/>
                <w:rtl w:val="0"/>
              </w:rPr>
              <w:t xml:space="preserve">Fidelity</w:t>
            </w: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Event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Description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Calculation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contextualSpacing w:val="0"/>
              <w:jc w:val="center"/>
              <w:rPr>
                <w:rFonts w:ascii="Courier New" w:cs="Courier New" w:eastAsia="Courier New" w:hAnsi="Courier New"/>
                <w:b w:val="1"/>
                <w:color w:val="000000"/>
                <w:sz w:val="20"/>
                <w:szCs w:val="20"/>
              </w:rPr>
            </w:pPr>
            <w:r w:rsidDel="00000000" w:rsidR="00000000" w:rsidRPr="00000000">
              <w:rPr>
                <w:rFonts w:ascii="Courier New" w:cs="Courier New" w:eastAsia="Courier New" w:hAnsi="Courier New"/>
                <w:b w:val="1"/>
                <w:color w:val="000000"/>
                <w:sz w:val="20"/>
                <w:szCs w:val="20"/>
                <w:rtl w:val="0"/>
              </w:rPr>
              <w:t xml:space="preserve">Source</w:t>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Fidelity Events</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Marines recognized for exemplary performance. Examples are Marine of the Quarter, NCO of the Quarter, Honor Grad of PME School, Meritorious Promotion, or other significant recognition by the Squadron Commander.</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D">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5 points per Marine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E">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S-1</w:t>
            </w:r>
          </w:p>
        </w:tc>
      </w:tr>
      <w:tr>
        <w:trPr>
          <w:trHeight w:val="3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F">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Volunteer Work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0">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Number of Marines who completed at least eight hours of volunteer work.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1">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3 points per Marine per 8 hours of volunteer work complete, with 3 points per every additional 8 hours completed.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spacing w:after="0" w:line="240" w:lineRule="auto"/>
              <w:contextualSpacing w:val="0"/>
              <w:jc w:val="center"/>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S-1</w:t>
            </w:r>
          </w:p>
        </w:tc>
      </w:tr>
    </w:tbl>
    <w:p w:rsidR="00000000" w:rsidDel="00000000" w:rsidP="00000000" w:rsidRDefault="00000000" w:rsidRPr="00000000" w14:paraId="000000A3">
      <w:pPr>
        <w:spacing w:after="0" w:lineRule="auto"/>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4">
      <w:pPr>
        <w:tabs>
          <w:tab w:val="left" w:pos="720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/s/</w:t>
      </w:r>
    </w:p>
    <w:p w:rsidR="00000000" w:rsidDel="00000000" w:rsidP="00000000" w:rsidRDefault="00000000" w:rsidRPr="00000000" w14:paraId="000000A5">
      <w:pPr>
        <w:tabs>
          <w:tab w:val="left" w:pos="720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J. MACIAS</w:t>
      </w:r>
    </w:p>
    <w:p w:rsidR="00000000" w:rsidDel="00000000" w:rsidP="00000000" w:rsidRDefault="00000000" w:rsidRPr="00000000" w14:paraId="000000A6">
      <w:pPr>
        <w:tabs>
          <w:tab w:val="left" w:pos="720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Lieutenant Colonel, USMC</w:t>
      </w:r>
    </w:p>
    <w:p w:rsidR="00000000" w:rsidDel="00000000" w:rsidP="00000000" w:rsidRDefault="00000000" w:rsidRPr="00000000" w14:paraId="000000A7">
      <w:pPr>
        <w:tabs>
          <w:tab w:val="left" w:pos="720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ab/>
        <w:t xml:space="preserve">Commanding Officer</w:t>
      </w:r>
    </w:p>
    <w:p w:rsidR="00000000" w:rsidDel="00000000" w:rsidP="00000000" w:rsidRDefault="00000000" w:rsidRPr="00000000" w14:paraId="000000A8">
      <w:pPr>
        <w:tabs>
          <w:tab w:val="left" w:pos="4680"/>
        </w:tabs>
        <w:spacing w:after="0" w:lineRule="auto"/>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9">
      <w:pPr>
        <w:tabs>
          <w:tab w:val="left" w:pos="4680"/>
        </w:tabs>
        <w:spacing w:after="0" w:lineRule="auto"/>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tabs>
          <w:tab w:val="left" w:pos="468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OFFICIAL</w:t>
      </w:r>
    </w:p>
    <w:p w:rsidR="00000000" w:rsidDel="00000000" w:rsidP="00000000" w:rsidRDefault="00000000" w:rsidRPr="00000000" w14:paraId="000000AB">
      <w:pPr>
        <w:tabs>
          <w:tab w:val="left" w:pos="4680"/>
        </w:tabs>
        <w:spacing w:after="0" w:lineRule="auto"/>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C">
      <w:pPr>
        <w:tabs>
          <w:tab w:val="left" w:pos="468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K. J. STEPP</w:t>
      </w:r>
    </w:p>
    <w:p w:rsidR="00000000" w:rsidDel="00000000" w:rsidP="00000000" w:rsidRDefault="00000000" w:rsidRPr="00000000" w14:paraId="000000AD">
      <w:pPr>
        <w:tabs>
          <w:tab w:val="left" w:pos="468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Major, USMC</w:t>
      </w:r>
    </w:p>
    <w:p w:rsidR="00000000" w:rsidDel="00000000" w:rsidP="00000000" w:rsidRDefault="00000000" w:rsidRPr="00000000" w14:paraId="000000AE">
      <w:pPr>
        <w:tabs>
          <w:tab w:val="left" w:pos="4680"/>
        </w:tabs>
        <w:spacing w:after="0" w:lineRule="auto"/>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Operations Officer, MWCS-28</w:t>
      </w:r>
    </w:p>
    <w:p w:rsidR="00000000" w:rsidDel="00000000" w:rsidP="00000000" w:rsidRDefault="00000000" w:rsidRPr="00000000" w14:paraId="000000AF">
      <w:pPr>
        <w:contextualSpacing w:val="0"/>
        <w:rPr/>
      </w:pPr>
      <w:r w:rsidDel="00000000" w:rsidR="00000000" w:rsidRPr="00000000">
        <w:rPr>
          <w:rtl w:val="0"/>
        </w:rPr>
      </w:r>
    </w:p>
    <w:sectPr>
      <w:headerReference r:id="rId6" w:type="default"/>
      <w:footerReference r:id="rId7" w:type="default"/>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Enclosure (1)</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